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Nynäshamn kommunfullmäktige</w:t>
      </w:r>
    </w:p>
    <w:p>
      <w:pPr>
        <w:pStyle w:val="Heading1"/>
      </w:pPr>
      <w:r>
        <w:t xml:space="preserve">Fler kommunala fritidsgårdar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Nynäshamn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Ungdomar i Nynäshamn saknar mötesplatser vilket ökar risk för utanförskap enligt Brå 2024. Kommunala fritidsgårdar ger trygghet och förebygger problem.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Nynäshamn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två nya fritidsgårdar i Sorunda och Nynäshamn centrum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8 nya fritidsledare.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avgiftsfria aktiviteter för alla 13–19-åringar.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årligen med ungdomsråd.</w:t>
      </w:r>
    </w:p>
    <w:p>
      <w:pPr>
        <w:spacing w:before="360"/>
      </w:pPr>
    </w:p>
    <w:p>
      <w:r>
        <w:t xml:space="preserve">Nynäshamn,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Nynäshamn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2026-07-14T01:05:10.823Z</dcterms:created>
  <dcterms:modified xsi:type="dcterms:W3CDTF">2026-07-14T01:05:10.823Z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