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Nynäshamn kommunfullmäktige</w:t>
      </w:r>
    </w:p>
    <w:p>
      <w:pPr>
        <w:pStyle w:val="Heading1"/>
      </w:pPr>
      <w:r>
        <w:t xml:space="preserve">Klimatplan för Nynäshamns hamn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Nynäshamn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Preem-raffinaderiet och hamnverksamheten står för stora utsläpp enligt Naturvårdsverket. Kommunen behöver styra mot fossilfrihet och gröna jobb. En lokal klimatplan kan skapa nya arbetstillfällen.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Nynäshamn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ta fram en klimatplan för hamnområdet med mål om fossilfrihet 2035.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kräva elanslutning för fartyg vid kaj från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gröna investeringar i hamnen vid kommande upphandlingar.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tillsätta en klimatråd med fackliga och miljörörelsens representanter.</w:t>
      </w:r>
    </w:p>
    <w:p>
      <w:pPr>
        <w:spacing w:before="360"/>
      </w:pPr>
    </w:p>
    <w:p>
      <w:r>
        <w:t xml:space="preserve">Nynäshamn,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Nynäshamn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2026-07-14T01:05:10.813Z</dcterms:created>
  <dcterms:modified xsi:type="dcterms:W3CDTF">2026-07-14T01:05:10.813Z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