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Nykvarn kommunfullmäktige</w:t>
      </w:r>
    </w:p>
    <w:p>
      <w:pPr>
        <w:pStyle w:val="Heading1"/>
      </w:pPr>
      <w:r>
        <w:t xml:space="preserve">Förbättra tillgängligheten i kommunens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Nykvarn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byggnader saknar full tillgänglighet enligt Boverkets inventering 2024. Detta strider mot FN-konventionen om rättigheter för personer med funktionsnedsättning.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Nykvarn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fullständig tillgänglighetsinventering av alla kommunala lokaler.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10 miljoner kronor för tillgänglighetsanpassningar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hissar och ramper i alla nybyggnationer.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inkludera funktionsrättsorganisationer i planeringsarbetet.</w:t>
      </w:r>
    </w:p>
    <w:p>
      <w:pPr>
        <w:spacing w:before="360"/>
      </w:pPr>
    </w:p>
    <w:p>
      <w:r>
        <w:t xml:space="preserve">Nykvarn,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Nykvarn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2026-07-14T01:04:07.478Z</dcterms:created>
  <dcterms:modified xsi:type="dcterms:W3CDTF">2026-07-14T01:04:07.478Z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