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Nacka kommunfullmäktige</w:t>
      </w:r>
    </w:p>
    <w:p>
      <w:pPr>
        <w:pStyle w:val="Heading1"/>
      </w:pPr>
      <w:r>
        <w:t xml:space="preserve">Minskade klasstorlekar i Nackas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Nacka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Nacka har högre genomsnittlig klasstorlek än rikssnittet i flera skolor. Stora klasser missgynnar elever med stödbehov och ökar ojämlikheten mellan områden.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Nacka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20 elever per klass i årskurs 1–3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ytterligare 30 lärare och specialpedagoger under mandatperioden.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öronmärka 15 miljoner kronor årligen för mindre klasser.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klasstorlekarna i en årlig rapport till fullmäktige.</w:t>
      </w:r>
    </w:p>
    <w:p>
      <w:pPr>
        <w:spacing w:before="360"/>
      </w:pPr>
    </w:p>
    <w:p>
      <w:r>
        <w:t xml:space="preserve">Nacka,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Nacka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2026-07-14T00:58:27.070Z</dcterms:created>
  <dcterms:modified xsi:type="dcterms:W3CDTF">2026-07-14T00:58:27.070Z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