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Lidingö kommunfullmäktige</w:t>
      </w:r>
    </w:p>
    <w:p>
      <w:pPr>
        <w:pStyle w:val="Heading1"/>
      </w:pPr>
      <w:r>
        <w:t xml:space="preserve">Fasta anställningar och rimliga villkor i äldreomsorgen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Lidingö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Lidingös äldreomsorg har hög andel timanställda enligt kommunens kvalitetsrapport 2024, vilket leder till otrygghet för både brukare och personal. Kommunal regi ger bättre kontinuitet.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Lidingö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andelen fasta anställningar i hemtjänst och särskilt boende ska vara minst 85 %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schemaläggning ska ske med heltid som norm.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upphandlingar ska innehålla krav på kollektivavtal och schyssta villkor.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brukarnöjdhet och personalomsättning följs upp årligen.</w:t>
      </w:r>
    </w:p>
    <w:p>
      <w:pPr>
        <w:spacing w:before="360"/>
      </w:pPr>
    </w:p>
    <w:p>
      <w:r>
        <w:t xml:space="preserve">Lidingö,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Lidingö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2026-07-14T00:41:56.476Z</dcterms:created>
  <dcterms:modified xsi:type="dcterms:W3CDTF">2026-07-14T00:41:56.476Z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