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Järfälla kommunfullmäktige</w:t>
      </w:r>
    </w:p>
    <w:p>
      <w:pPr>
        <w:pStyle w:val="Heading1"/>
      </w:pPr>
      <w:r>
        <w:t xml:space="preserve">Öppen budget och granskning av kommunala bolag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Järfälla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Kommunala bolag som Järfällahus behöver ökad insyn. Demokratisk ekonomi kräver transparens i budget och upphandlingar.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Järfälla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publicera alla budgetunderlag öppet på webben.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tillsätta en oberoende granskning av kommunala bolag 2027.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kräva jämlikhetsanalys vid alla stora investeringar.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införa medborgarbudget för mindre projekt.</w:t>
      </w:r>
    </w:p>
    <w:p>
      <w:pPr>
        <w:spacing w:before="360"/>
      </w:pPr>
    </w:p>
    <w:p>
      <w:r>
        <w:t xml:space="preserve">Järfälla,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Järfälla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2026-07-14T00:24:11.979Z</dcterms:created>
  <dcterms:modified xsi:type="dcterms:W3CDTF">2026-07-14T00:24:11.979Z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