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Järfälla kommunfullmäktige</w:t>
      </w:r>
    </w:p>
    <w:p>
      <w:pPr>
        <w:pStyle w:val="Heading1"/>
      </w:pPr>
      <w:r>
        <w:t xml:space="preserve">Ökad tillgänglighet och HBTQI-stöd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Järfälla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Järfälla saknar tillräcklig tillgänglighet i offentliga lokaler och stöd till HBTQI-personer. Antidiskriminering är en prioriterad fråga för jämlikhet.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Järfälla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tillgänglighetsinventering av alla kommunala lokaler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HBTQI-certifiering av skolor och 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antidiskrimineringsstrateg.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medel för tillgänglighetsanpassningar.</w:t>
      </w:r>
    </w:p>
    <w:p>
      <w:pPr>
        <w:spacing w:before="360"/>
      </w:pPr>
    </w:p>
    <w:p>
      <w:r>
        <w:t xml:space="preserve">Järfälla,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Järfälla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2026-07-14T00:24:11.968Z</dcterms:created>
  <dcterms:modified xsi:type="dcterms:W3CDTF">2026-07-14T00:24:11.968Z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