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Danderyd kommunfullmäktige</w:t>
      </w:r>
    </w:p>
    <w:p>
      <w:pPr>
        <w:pStyle w:val="Heading1"/>
      </w:pPr>
      <w:r>
        <w:t xml:space="preserve">Minskade klasstorlekar i kommunens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Danderyd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Trots goda skolresultat visar Skolverkets statistik 2024 att klasstorlekarna i Danderyds grundskolor ofta överstiger 25 elever. Mindre klasser ger bättre stöd till alla elever och minskar ojämlikhet.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Danderyd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maxtak på 22 elever per klass i årskurs 1–6.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medel för ytterligare lärartjänster från budget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mindre klasser i skolor med högre andel elever i behov av 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klasstorlekarna årligen i kvalitetsrapporten.</w:t>
      </w:r>
    </w:p>
    <w:p>
      <w:pPr>
        <w:spacing w:before="360"/>
      </w:pPr>
    </w:p>
    <w:p>
      <w:r>
        <w:t xml:space="preserve">Danderyd,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Danderyd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2026-07-13T23:48:40.212Z</dcterms:created>
  <dcterms:modified xsi:type="dcterms:W3CDTF">2026-07-13T23:48:40.212Z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