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Vingåker kommunfullmäktige</w:t>
      </w:r>
    </w:p>
    <w:p>
      <w:pPr>
        <w:pStyle w:val="Heading1"/>
      </w:pPr>
      <w:r>
        <w:t xml:space="preserve">Fossilfri kollektivtrafik i hela kommunen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Vingåker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Sörmlands trafik är delvis fossilberoende på landsbygden. Vingåker behöver bättre och klimatsmartare busstrafik för att minska bilberoendet och nå klimatmålen.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Vingåker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100 procent fossilfri kollektivtrafik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lokal trafikplan med utökad landsbygdstrafik tas fram.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elbussar prioriteras vid nästa upphandling.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cykel- och pendlarparkeringar byggs vid hållplatser.</w:t>
      </w:r>
    </w:p>
    <w:p>
      <w:pPr>
        <w:spacing w:before="360"/>
      </w:pPr>
    </w:p>
    <w:p>
      <w:r>
        <w:t xml:space="preserve">Vingåker,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Vingåker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2026-07-14T01:56:39.606Z</dcterms:created>
  <dcterms:modified xsi:type="dcterms:W3CDTF">2026-07-14T01:56:39.606Z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