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Vellinge kommunfullmäktige</w:t>
      </w:r>
    </w:p>
    <w:p>
      <w:pPr>
        <w:pStyle w:val="Heading1"/>
      </w:pPr>
      <w:r>
        <w:t xml:space="preserve">Stärkt kollektivtrafik och fossilfri bussflotta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Vellinge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Vellinge är starkt bilberoende enligt Region Skånes resvaneundersökning. Kollektivtrafiken behöver förbättras för att nå klimatmål och öka tillgängligheten för unga och äldre.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Vellinge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verka för en utökad busstrafik med minst 20 % fler avgångar på linjerna inom Vellinge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alla kommunala upphandlingar av busstrafik ska kräva fossilfria fordon senast 2028.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cykelvägarna till tågstationerna i Vellinge och Höllviken rustas upp med belysning och separering.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uppföljning av kollektivtrafikens andel av resor redovisas för kommunfullmäktige.</w:t>
      </w:r>
    </w:p>
    <w:p>
      <w:pPr>
        <w:spacing w:before="360"/>
      </w:pPr>
    </w:p>
    <w:p>
      <w:r>
        <w:t xml:space="preserve">Vellinge,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Vellinge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2026-07-14T01:54:04.758Z</dcterms:created>
  <dcterms:modified xsi:type="dcterms:W3CDTF">2026-07-14T01:54:04.758Z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