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Tomelilla kommunfullmäktige</w:t>
      </w:r>
    </w:p>
    <w:p>
      <w:pPr>
        <w:pStyle w:val="Heading1"/>
      </w:pPr>
      <w:r>
        <w:t xml:space="preserve">Fler fast anställda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Tomelilla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Tomelilla kommuns årsredovisning 2024 visar 38 % timvikarier i hemtjänsten. Hög omsättning leder till otrygghet för äldre. Välfärd i kommunal regi med fasta tjänster ger bättre kontinuitet och arbetsvillkor.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Tomelilla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minst 80 % av hemtjänstpersonalen ska vara fast anställda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12 nya fasta vårdbiträdestjänster.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socialnämnden i uppdrag att införa heltidsnorm för alla tillsvidareanställda.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stoppar vidare privatisering av hemtjänstverksamhet.</w:t>
      </w:r>
    </w:p>
    <w:p>
      <w:pPr>
        <w:spacing w:before="360"/>
      </w:pPr>
    </w:p>
    <w:p>
      <w:r>
        <w:t xml:space="preserve">Tomelilla,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Tomelilla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2026-07-14T01:39:28.734Z</dcterms:created>
  <dcterms:modified xsi:type="dcterms:W3CDTF">2026-07-14T01:39:28.734Z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