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Skurup kommunfullmäktige</w:t>
      </w:r>
    </w:p>
    <w:p>
      <w:pPr>
        <w:pStyle w:val="Heading1"/>
      </w:pPr>
      <w:r>
        <w:t xml:space="preserve">Öka tillgängligheten i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Skurup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Flera kommunala byggnader i Skurup har bristande tillgänglighet enligt Boverkets inventering 2023. Funktionsrättsorganisationer har påpekat problemen i samråd.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Skurup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en fullständig tillgänglighetsinventering av alla kommunala lokaler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medel för åtgärder enligt inventeringen från 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krav på tillgänglighet vid alla upphandlingar och renoveringar.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en handlingsplan senast december 2027.</w:t>
      </w:r>
    </w:p>
    <w:p>
      <w:pPr>
        <w:spacing w:before="360"/>
      </w:pPr>
    </w:p>
    <w:p>
      <w:r>
        <w:t xml:space="preserve">Skurup,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Skurup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2026-07-14T01:20:26.827Z</dcterms:created>
  <dcterms:modified xsi:type="dcterms:W3CDTF">2026-07-14T01:20:26.827Z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