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Simrishamn kommunfullmäktige</w:t>
      </w:r>
    </w:p>
    <w:p>
      <w:pPr>
        <w:pStyle w:val="Heading1"/>
      </w:pPr>
      <w:r>
        <w:t xml:space="preserve">Stoppa oskäliga hyreshöjningar i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Simrishamn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Hyresgästföreningens statistik visar att hyrorna i Simrishamnsbostäder ökat kraftigt de senaste åren. Kommunen som ägare har ansvar att skydda hyresgäster mot oskäliga höjningar.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Simrishamn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 Simrishamnsbostäder direktiv att hålla hyreshöjningar under inflationen.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hyresråd med hyresgästrepresentation.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redovisa hyresutveckling och underhållsplan årligen.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prioritera energieffektivisering före hyreshöjningar.</w:t>
      </w:r>
    </w:p>
    <w:p>
      <w:pPr>
        <w:spacing w:before="360"/>
      </w:pPr>
    </w:p>
    <w:p>
      <w:r>
        <w:t xml:space="preserve">Simrishamn,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Simrishamn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2026-07-14T01:17:43.278Z</dcterms:created>
  <dcterms:modified xsi:type="dcterms:W3CDTF">2026-07-14T01:17:43.278Z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