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Perstorp kommunfullmäktige</w:t>
      </w:r>
    </w:p>
    <w:p>
      <w:pPr>
        <w:pStyle w:val="Heading1"/>
      </w:pPr>
      <w:r>
        <w:t xml:space="preserve">Förbättrad busstrafik till Perstorp AB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Perstorp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Skånes trafikplan 2024 visar att busslinje 532 har låg turtäthet kvällstid, vilket försvårar pendling för industriarbetare. Perstorp AB har över 400 anställda som är beroende av kollektivtrafik.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Perstorp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begär att Region Skåne ökar turtätheten på linje 532 med minst 50 % kvällstid.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bidrar med 1,2 mnkr årligen för utökad trafik under 2027–2029.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samordningsgrupp med Perstorp AB och fack bildas för att kartlägga behov.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kommunstyrelsen årligen rapporterar om kollektivtrafikens utveckling till fullmäktige.</w:t>
      </w:r>
    </w:p>
    <w:p>
      <w:pPr>
        <w:spacing w:before="360"/>
      </w:pPr>
    </w:p>
    <w:p>
      <w:r>
        <w:t xml:space="preserve">Perstorp,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Perstorp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2026-07-14T01:12:08.503Z</dcterms:created>
  <dcterms:modified xsi:type="dcterms:W3CDTF">2026-07-14T01:12:08.503Z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