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Lund kommunfullmäktige</w:t>
      </w:r>
    </w:p>
    <w:p>
      <w:pPr>
        <w:pStyle w:val="Heading1"/>
      </w:pPr>
      <w:r>
        <w:t xml:space="preserve">Fossilfri kollektivtrafik till ESS och MAX IV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Lund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Region Skånes busslinjer till forskningsbyarna är inte fossilfria 2025. Lunds kommun har ambitiösa klimatmål men saknar egen styrning över trafiken. Ökad pendling kräver hållbara lösningar för att minska bilberoendet.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Lund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uppmanar Region Skåne att införa 100 procent fossilfri busstrafik till ESS/MAX IV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Lunds kommun finansierar en utökad skytteltrafik med elbussar från centralstationen.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årlig klimatrapport för kommunens resor till forskningsbyarna tas fram.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cykelvägar till ESS/MAX IV prioriteras i nästa investeringsbudget.</w:t>
      </w:r>
    </w:p>
    <w:p>
      <w:pPr>
        <w:spacing w:before="360"/>
      </w:pPr>
    </w:p>
    <w:p>
      <w:r>
        <w:t xml:space="preserve">Lund,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Lund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2026-07-14T00:48:22.014Z</dcterms:created>
  <dcterms:modified xsi:type="dcterms:W3CDTF">2026-07-14T00:48:22.014Z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