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Lund kommunfullmäktige</w:t>
      </w:r>
    </w:p>
    <w:p>
      <w:pPr>
        <w:pStyle w:val="Heading1"/>
      </w:pPr>
      <w:r>
        <w:t xml:space="preserve">Fler kommunala hyresrätter i centrala Lund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Lund har akut bostadsbrist, särskilt för studenter och unga. Enligt Boverkets rapport 2025 saknas 4 500 bostäder. Lunds kommunala fastigheter (LKF) har minskat nyproduktion av hyresrätter medan privata aktörer prioriterar bostadsrätter. Detta driver upp hyrorna och ökar segregationen.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Lunds kommunala fastigheter i uppdrag att påbörja planering för minst 800 nya kommunala hyresrätter i centrala Lund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årlig rapport om nyproduktion av hyresrätter lämnas till kommunfullmäktige.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medel i budget 2027 för markförvärv avsedd för kommunala hyresrätter.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upphandlingar av nya bostäder prioriterar kommunal regi framför privat.</w:t>
      </w:r>
    </w:p>
    <w:p>
      <w:pPr>
        <w:spacing w:before="360"/>
      </w:pPr>
    </w:p>
    <w:p>
      <w:r>
        <w:t xml:space="preserve">Lund,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2026-07-14T00:48:21.991Z</dcterms:created>
  <dcterms:modified xsi:type="dcterms:W3CDTF">2026-07-14T00:48:21.991Z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