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Kävlinge kommunfullmäktige</w:t>
      </w:r>
    </w:p>
    <w:p>
      <w:pPr>
        <w:pStyle w:val="Heading1"/>
      </w:pPr>
      <w:r>
        <w:t xml:space="preserve">Mindre klasser i Kävlinges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Kävlinge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klassstorlek är 26 elever (Kolada 2024), högre än rikssnitt. Skolinspektionen har kritiserat Ljungenskolan och Furulundsskolan för otillräckligt stöd till elever i behov. Mindre klasser förbättrar resultaten och jämlikheten.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Kävlinge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15 miljoner kronor avsätts i budget 2027 för ytterligare lärartjänster.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skolan ges extra resurser för utsatta områden enligt socioekonomisk fördelningsnyckel.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begär årlig redovisning av klassstorlekar.</w:t>
      </w:r>
    </w:p>
    <w:p>
      <w:pPr>
        <w:spacing w:before="360"/>
      </w:pPr>
    </w:p>
    <w:p>
      <w:r>
        <w:t xml:space="preserve">Kävlinge,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Kävlinge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2026-07-14T00:37:11.813Z</dcterms:created>
  <dcterms:modified xsi:type="dcterms:W3CDTF">2026-07-14T00:37:11.813Z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