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Bromölla kommunfullmäktige</w:t>
      </w:r>
    </w:p>
    <w:p>
      <w:pPr>
        <w:pStyle w:val="Heading1"/>
      </w:pPr>
      <w:r>
        <w:t xml:space="preserve">Fler fasta anställningar i hemtjänsten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Bromölla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Bromölla har en högre andel timanställda i hemtjänsten än länet i genomsnitt (Kolada 2024). Detta leder till sämre kontinuitet för de äldre och osäkra villkor för personalen. Vänsterpartiet vill att kommunen tar ansvar för att erbjuda fasta tjänster.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Bromölla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ger socialnämnden i uppdrag att ta fram en plan för att öka andelen fasta anställningar i hemtjänsten till minst 85 procent inom två år.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socialnämnden får i uppdrag att redovisa hur många timanställda som erbjuds fasta tjänster kvartalsvis.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kommunen avstår från att teckna nya avtal med bemanningsföretag för hemtjänst från 2027.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socialnämnden får 500 000 kronor extra i budget 2027 för att täcka kostnader för övergång till fasta tjänster.</w:t>
      </w:r>
    </w:p>
    <w:p>
      <w:pPr>
        <w:spacing w:before="360"/>
      </w:pPr>
    </w:p>
    <w:p>
      <w:r>
        <w:t xml:space="preserve">Bromölla,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Bromölla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2026-07-13T23:45:45.555Z</dcterms:created>
  <dcterms:modified xsi:type="dcterms:W3CDTF">2026-07-13T23:45:45.555Z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