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Vadstena kommunfullmäktige</w:t>
      </w:r>
    </w:p>
    <w:p>
      <w:pPr>
        <w:pStyle w:val="Heading1"/>
      </w:pPr>
      <w:r>
        <w:t xml:space="preserve">Fler hyresrätter i kommunal regi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Vadstena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Vadstena har lång bostadskö och få hyresrätter enligt Boverkets lägesrapport 2025. Befolkningen minskar samtidigt som unga och äldre behöver bostäder. Moderaterna har prioriterat äganderätter vilket förvärrar segregationen.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Vadstena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kommunen ska påbörja planering för minst 50 nya kommunala hyresrätter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krav på socialt blandade upplåtelseformer vid all nybyggnation.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 kommunala bostadsbolaget i uppdrag att prioritera hyresrätter framför bostadsrätter.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bostadsköns utveckling och åtgärder.</w:t>
      </w:r>
    </w:p>
    <w:p>
      <w:pPr>
        <w:spacing w:before="360"/>
      </w:pPr>
    </w:p>
    <w:p>
      <w:r>
        <w:t xml:space="preserve">Vadstena,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Vadstena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2026-07-14T01:49:53.831Z</dcterms:created>
  <dcterms:modified xsi:type="dcterms:W3CDTF">2026-07-14T01:49:53.831Z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