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Motala kommunfullmäktige</w:t>
      </w:r>
    </w:p>
    <w:p>
      <w:pPr>
        <w:pStyle w:val="Heading1"/>
      </w:pPr>
      <w:r>
        <w:t xml:space="preserve">Fler kultur- och fritidsaktiviteter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Motala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Kultur- och fritidsutbudet är ojämnt fördelat i Motala. Barn i ytterområden har sämre tillgång till aktiviteter vilket påverkar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Motala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minst 3 nya kostnadsfria kultur- och idrottsaktiviteter per år inrättas i varje kommundel.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biblioteken får utökade öppettider och fler evenemang för unga.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föreningslivet stärks med kommunala bidrag.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barn och ungas deltagande redovisas för fullmäktige.</w:t>
      </w:r>
    </w:p>
    <w:p>
      <w:pPr>
        <w:spacing w:before="360"/>
      </w:pPr>
    </w:p>
    <w:p>
      <w:r>
        <w:t xml:space="preserve">Motala,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Motala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2026-07-14T00:54:51.834Z</dcterms:created>
  <dcterms:modified xsi:type="dcterms:W3CDTF">2026-07-14T00:54:51.834Z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