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Linköping kommunfullmäktige</w:t>
      </w:r>
    </w:p>
    <w:p>
      <w:pPr>
        <w:pStyle w:val="Heading1"/>
      </w:pPr>
      <w:r>
        <w:t xml:space="preserve">Fria kulturaktiviteter för unga i Linköping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Linköping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Kultur- och fritidsutbudet är ojämnt fördelat och dyrt för många familjer. Barn i utsatta områden deltar i lägre utsträckning i idrott och kultur (Linköpings kommun fritidsenkät).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Linköping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alla kommunala kultur- och idrottsaktiviteter för barn och unga under 18 år ska vara avgiftsfria.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höjer anslaget till fritidsverksamhet med 10 miljoner kronor per år.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prioriterar verksamhet i områden med låg deltagandegrad.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utvärderar deltagandet årligen och redovisar för fullmäktige.</w:t>
      </w:r>
    </w:p>
    <w:p>
      <w:pPr>
        <w:spacing w:before="360"/>
      </w:pPr>
    </w:p>
    <w:p>
      <w:r>
        <w:t xml:space="preserve">Linköping,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Linköping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2026-07-14T00:44:10.209Z</dcterms:created>
  <dcterms:modified xsi:type="dcterms:W3CDTF">2026-07-14T00:44:10.209Z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