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Linköping kommunfullmäktige</w:t>
      </w:r>
    </w:p>
    <w:p>
      <w:pPr>
        <w:pStyle w:val="Heading1"/>
      </w:pPr>
      <w:r>
        <w:t xml:space="preserve">Satsning på cykel- och gångvägar i Linköping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Linköping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Linköping har potential att bli en cykelstad men infrastrukturen är eftersatt utanför centrum. Trafiksäkerheten för barn och unga är bristfällig.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Linköping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en cykelplan med separata cykelbanor till alla skolor.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investerar 30 miljoner kronor i gång- och cykelvägar under tre år.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prioriterar cykelvägar i bostadsområden med låg bilinnehav.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utvärderar ökad cykling och minskade utsläpp efter genomförande.</w:t>
      </w:r>
    </w:p>
    <w:p>
      <w:pPr>
        <w:spacing w:before="360"/>
      </w:pPr>
    </w:p>
    <w:p>
      <w:r>
        <w:t xml:space="preserve">Linköping,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Linköping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2026-07-14T00:44:10.195Z</dcterms:created>
  <dcterms:modified xsi:type="dcterms:W3CDTF">2026-07-14T00:44:10.195Z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