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Linköping kommunfullmäktige</w:t>
      </w:r>
    </w:p>
    <w:p>
      <w:pPr>
        <w:pStyle w:val="Heading1"/>
      </w:pPr>
      <w:r>
        <w:t xml:space="preserve">Tillgänglighetslyft för Linköpings offentliga miljö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offentliga lokaler och gångvägar i Linköping är otillgängliga för personer med funktionsnedsättning (Funktionsrätt Östergötland 2025). Detta strider mot FN-konventionen.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20 miljoner kronor för åtgärder som hissar, ramper och ledstråk.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inför krav på tillgänglighet i alla nya bygglov.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årlig uppföljning av tillgänglighetsarbetet.</w:t>
      </w:r>
    </w:p>
    <w:p>
      <w:pPr>
        <w:spacing w:before="360"/>
      </w:pPr>
    </w:p>
    <w:p>
      <w:r>
        <w:t xml:space="preserve">Linköping,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2026-07-14T00:44:10.188Z</dcterms:created>
  <dcterms:modified xsi:type="dcterms:W3CDTF">2026-07-14T00:44:10.188Z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