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Åtvidaberg kommunfullmäktige</w:t>
      </w:r>
    </w:p>
    <w:p>
      <w:pPr>
        <w:pStyle w:val="Heading1"/>
      </w:pPr>
      <w:r>
        <w:t xml:space="preserve">Ungdomsgård i centrala Åtvidaberg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Åtvidaberg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Brås trygghetsundersökning 2023 visar att 28 procent av unga i Åtvidaberg upplever otrygghet kvällstid. Befintlig verksamhet är begränsad till skolans lokaler. En öppen ungdomsgård kan förebygga kriminalitet enligt socialtjänstens rapport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Åtvidaberg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centrala Åtvidaberg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2,1 mnkr för lokaler, personal och verksamhet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ungdomsgården ska vara öppen minst fyra kvällar per vecka med utbildad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årligen tillsammans med ungdomsrådet.</w:t>
      </w:r>
    </w:p>
    <w:p>
      <w:pPr>
        <w:spacing w:before="360"/>
      </w:pPr>
    </w:p>
    <w:p>
      <w:r>
        <w:t xml:space="preserve">Åtvidaberg,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Åtvidaberg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2026-07-14T02:06:14.301Z</dcterms:created>
  <dcterms:modified xsi:type="dcterms:W3CDTF">2026-07-14T02:06:14.301Z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