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Örebro kommunfullmäktige</w:t>
      </w:r>
    </w:p>
    <w:p>
      <w:pPr>
        <w:pStyle w:val="Heading1"/>
      </w:pPr>
      <w:r>
        <w:t xml:space="preserve">Ökad tillgänglighet i kommunala lokaler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Örebro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Kommunens egen tillgänglighetsinventering 2024 visar att 28 procent av kommunala lokaler saknar fullgod tillgänglighet för personer med funktionsnedsättning.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Örebro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alla kommunala lokaler ska vara fullt tillgängliga senast 2029.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avsätta 15 miljoner kronor per år för tillgänglighetsanpassningar.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prioritera skolor, bibliotek och vårdlokaler.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tillsätta en tillgänglighetsombudsman med årlig rapportering.</w:t>
      </w:r>
    </w:p>
    <w:p>
      <w:pPr>
        <w:spacing w:before="360"/>
      </w:pPr>
    </w:p>
    <w:p>
      <w:r>
        <w:t xml:space="preserve">Örebro,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Örebro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2026-07-14T02:10:33.126Z</dcterms:created>
  <dcterms:modified xsi:type="dcterms:W3CDTF">2026-07-14T02:10:33.126Z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