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Nora kommunfullmäktige</w:t>
      </w:r>
    </w:p>
    <w:p>
      <w:pPr>
        <w:pStyle w:val="Heading1"/>
      </w:pPr>
      <w:r>
        <w:t xml:space="preserve">Mindre klasser och ökat elevstöd i Noras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Noraskolans meritvärde låg på 205 poäng 2024, under rikssnittet (Kolada). Stora klasser och otillräckligt stöd drabbar särskilt elever i utsatta områden som Gyttorp och Åsby.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minst 6 nya speciallärare och elevassistenter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 mnkr årligen för riktat stöd till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erbjuda kostnadsfri läxhjälp och frukost i alla kommunala skolor.</w:t>
      </w:r>
    </w:p>
    <w:p>
      <w:pPr>
        <w:spacing w:before="360"/>
      </w:pPr>
    </w:p>
    <w:p>
      <w:r>
        <w:t xml:space="preserve">Nora,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2026-07-14T00:58:59.024Z</dcterms:created>
  <dcterms:modified xsi:type="dcterms:W3CDTF">2026-07-14T00:58:59.024Z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