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Karlskoga kommunfullmäktige</w:t>
      </w:r>
    </w:p>
    <w:p>
      <w:pPr>
        <w:pStyle w:val="Heading1"/>
      </w:pPr>
      <w:r>
        <w:t xml:space="preserve">Öppna fler kommunala ungdomsgårdar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Karlskoga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Brå:s trygghetsundersökning 2024 visar att 28 % av ungdomarna i Karlskoga känner sig otrygga på kvällstid. Endast två kommunala ungdomsgårdar finns idag. Fler mötesplatser kan förebygga kriminalitet och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Karlskoga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minst två nya kommunala ungdomsgårdar i Stråssa och centrala Karlskoga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3,2 miljoner kronor för drift och personal till ungdomsgårdarna.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kultur- och fritidsnämnden i uppdrag att samarbeta med föreningslivet om 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ungdomsgårdarna ska vara avgiftsfria och öppna minst fyra kvällar per vecka.</w:t>
      </w:r>
    </w:p>
    <w:p>
      <w:pPr>
        <w:spacing w:before="360"/>
      </w:pPr>
    </w:p>
    <w:p>
      <w:r>
        <w:t xml:space="preserve">Karlskoga,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Karlskoga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2026-07-14T00:27:16.569Z</dcterms:created>
  <dcterms:modified xsi:type="dcterms:W3CDTF">2026-07-14T00:27:16.569Z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