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Övertorneå kommunfullmäktige</w:t>
      </w:r>
    </w:p>
    <w:p>
      <w:pPr>
        <w:pStyle w:val="Heading1"/>
      </w:pPr>
      <w:r>
        <w:t xml:space="preserve">Mindre klasser och gratis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Övertorneå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Övertorneås skolresultat ligger under rikssnitt. Stora klasser och avgifter för vissa måltider drabbar jämlikheten. Föräldraenkäter visar missnöje med matsituationen.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Övertorneå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max 20 elever per klass i grundskolan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all skolmat ska vara avgiftsfri inklusive mellanmål.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två extra speciallärare för stöd till utsatta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i kvalitetsrapporten 2028.</w:t>
      </w:r>
    </w:p>
    <w:p>
      <w:pPr>
        <w:spacing w:before="360"/>
      </w:pPr>
    </w:p>
    <w:p>
      <w:r>
        <w:t xml:space="preserve">Övertorneå,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Övertorneå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2026-07-14T02:14:48.854Z</dcterms:created>
  <dcterms:modified xsi:type="dcterms:W3CDTF">2026-07-14T02:14:48.854Z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