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Luleå kommunfullmäktige</w:t>
      </w:r>
    </w:p>
    <w:p>
      <w:pPr>
        <w:pStyle w:val="Heading1"/>
      </w:pPr>
      <w:r>
        <w:t xml:space="preserve">Fler fast anställda i äldreomsorgen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Luleå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Timanställningar dominerar och sjukfrånvaron är hög (Kolada 2025). Fasta jobb ger trygghet för både personal och brukare.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Luleå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Luleå kommunfullmäktige beslutar att andelen timanställningar i äldreomsorgen ska understiga 10 procent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alla tillsvidareanställda erbjuds heltid.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arbetsmiljöåtgärder finansieras för att minska sjukfrånvaro.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personalenkät redovisas årligen i fullmäktige.</w:t>
      </w:r>
    </w:p>
    <w:p>
      <w:pPr>
        <w:spacing w:before="360"/>
      </w:pPr>
    </w:p>
    <w:p>
      <w:r>
        <w:t xml:space="preserve">Luleå,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Luleå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2026-07-14T00:47:58.798Z</dcterms:created>
  <dcterms:modified xsi:type="dcterms:W3CDTF">2026-07-14T00:47:58.798Z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