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Kiruna kommunfullmäktige</w:t>
      </w:r>
    </w:p>
    <w:p>
      <w:pPr>
        <w:pStyle w:val="Heading1"/>
      </w:pPr>
      <w:r>
        <w:t xml:space="preserve">Fler kommunala hyresrätter vid Kirunas flytt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Kiruna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Kiruna kommun har ett stort underskott på hyresrätter enligt bostadsförsörjningsprogrammet 2023. LKAB:s expansion driver på inflyttning samtidigt som privata aktörer prioriterar dyra bostadsrätter. Detta leder till segregation och höga boendekostnader för vanligt folk.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Kiruna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Kirunabostäder ska ges i uppdrag att bygga minst 300 nya kommunala hyresrätter fram till 2030.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all nyproduktion i samband med Kirunas flytt ska ske i kommunal regi.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införa hyresstopp för oskäliga höjningar i befintligt bestånd.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en årlig rapport om bostadsförsörjningen till fullmäktige.</w:t>
      </w:r>
    </w:p>
    <w:p>
      <w:pPr>
        <w:spacing w:before="360"/>
      </w:pPr>
    </w:p>
    <w:p>
      <w:r>
        <w:t xml:space="preserve">Kiruna,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Kiruna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2026-07-14T00:30:44.769Z</dcterms:created>
  <dcterms:modified xsi:type="dcterms:W3CDTF">2026-07-14T00:30:44.769Z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