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Kalix kommunfullmäktige</w:t>
      </w:r>
    </w:p>
    <w:p>
      <w:pPr>
        <w:pStyle w:val="Heading1"/>
      </w:pPr>
      <w:r>
        <w:t xml:space="preserve">Grön omställning med lokala jobb i Kalix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Kalix har potential inom skogsbruk, besöksnäring och förnybar energi. En rättvis omställning kan skapa nya kommunala jobb och motverka utflyttning (Länsstyrelsen Norrbotten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Kalix kommunfullmäktige beslutar att ta fram en kommunal strategi för gröna jobb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Kalix kommunfullmäktige beslutar att prioritera lokala företag vid upphandling av sol- och vindkraftsprojekt.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Kalix kommunfullmäktige beslutar att inrätta ett kommunalt traineeprogram inom hållbar utveckling.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Kalix kommunfullmäktige beslutar att redovisa antal skapade gröna jobb i årsredovisningen.</w:t>
      </w:r>
    </w:p>
    <w:p>
      <w:pPr>
        <w:spacing w:before="360"/>
      </w:pPr>
    </w:p>
    <w:p>
      <w:r>
        <w:t xml:space="preserve">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2026-07-14T00:25:24.905Z</dcterms:created>
  <dcterms:modified xsi:type="dcterms:W3CDTF">2026-07-14T00:25:24.905Z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