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Jokkmokk kommunfullmäktige</w:t>
      </w:r>
    </w:p>
    <w:p>
      <w:pPr>
        <w:pStyle w:val="Heading1"/>
      </w:pPr>
      <w:r>
        <w:t xml:space="preserve">Minska klassstorlekarna i Jokkmokks grundskolor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Jokkmokk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Skolans meritvärde ligger på 195 enligt Kolada 2024, lägre än rikssnittet. Stora klasser försvårar stöd till elever i glesbygd med långa avstånd till skola.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Jokkmokk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max 20 elever per klass i årskurs 1–6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två extra lärartjänster tillsätts i lågstadiet.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 utreder mobil skolresurs för byskolorna.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extra stödresurser riktas till elever med samisk bakgrund.</w:t>
      </w:r>
    </w:p>
    <w:p>
      <w:pPr>
        <w:spacing w:before="360"/>
      </w:pPr>
    </w:p>
    <w:p>
      <w:r>
        <w:t xml:space="preserve">Jokkmokk,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Jokkmokk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2026-07-14T00:23:39.654Z</dcterms:created>
  <dcterms:modified xsi:type="dcterms:W3CDTF">2026-07-14T00:23:39.654Z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