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Jokkmokk kommunfullmäktige</w:t>
      </w:r>
    </w:p>
    <w:p>
      <w:pPr>
        <w:pStyle w:val="Heading1"/>
      </w:pPr>
      <w:r>
        <w:t xml:space="preserve">Öka andelen fast anställda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Jokkmokk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årsredovisning 2024 visar 35 % timvikarier inom hemtjänst och särskilt boende, vilket leder till otrygghet för äldre. Kolada-rankning är under genomsnittet för Norrbotten.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Jokkmokk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Jokkmokk kommunfullmäktige beslutar om en plan för att minska timvikarier till max 15 %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höjer grundbemanningen med 10 heltidstjänster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alla anställda erbjuds heltidsanställning med rätt till önskad sysselsättningsgrad.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inför kontinuerlig kompetensutveckling för vårdpersonal.</w:t>
      </w:r>
    </w:p>
    <w:p>
      <w:pPr>
        <w:spacing w:before="360"/>
      </w:pPr>
    </w:p>
    <w:p>
      <w:r>
        <w:t xml:space="preserve">Jokkmokk,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Jokkmokk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2026-07-14T00:23:39.649Z</dcterms:created>
  <dcterms:modified xsi:type="dcterms:W3CDTF">2026-07-14T00:23:39.649Z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