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Jokkmokk kommunfullmäktige</w:t>
      </w:r>
    </w:p>
    <w:p>
      <w:pPr>
        <w:pStyle w:val="Heading1"/>
      </w:pPr>
      <w:r>
        <w:t xml:space="preserve">Skydda Gállok och samiska rättigheter mot gruvdrift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Jokkmokk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Gállok/Kallak-projektet hotar rennäring, vatten och samisk kultur enligt Sametingets yttrande 2023 och Naturvårdsverkets remissvar. Jokkmokk har redan tappat förtroende för statliga processer. En kommunal ståndpunkt behövs för att prioritera hållbarhet.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Jokkmokk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Jokkmokk kommunfullmäktige antar en policy som motsätter sig gruvdrift i Gállok-området.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begär att regeringen stoppar alla tillståndsprocesser tills samiska rättigheter är garanterade.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utreder alternativa gröna näringar som ersättning för eventuell gruvnäring.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kommunen avsätter medel för samråd med samebyar inför alla markbeslut.</w:t>
      </w:r>
    </w:p>
    <w:p>
      <w:pPr>
        <w:spacing w:before="360"/>
      </w:pPr>
    </w:p>
    <w:p>
      <w:r>
        <w:t xml:space="preserve">Jokkmokk,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Jokkmokk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2026-07-14T00:23:39.639Z</dcterms:created>
  <dcterms:modified xsi:type="dcterms:W3CDTF">2026-07-14T00:23:39.639Z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