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Haparanda kommunfullmäktige</w:t>
      </w:r>
    </w:p>
    <w:p>
      <w:pPr>
        <w:pStyle w:val="Heading1"/>
      </w:pPr>
      <w:r>
        <w:t xml:space="preserve">Ökad tillgänglighet i offentliga miljöer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Haparanda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offentliga platser i Haparanda saknar tillräcklig tillgänglighet för personer med funktionsnedsättning. Detta strider mot FN-konventionen och kommunens egna mål.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Haparanda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tillgänglighetsinventering görs av alla kommunala lokaler och utemiljöer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åtgärdsplan upprättas med budget för 2028–2030.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HBTQI-perspektiv integreras i planeringen.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samråd sker med funktionsrättsorganisationer.</w:t>
      </w:r>
    </w:p>
    <w:p>
      <w:pPr>
        <w:spacing w:before="360"/>
      </w:pPr>
    </w:p>
    <w:p>
      <w:r>
        <w:t xml:space="preserve">Haparanda,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Haparanda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2026-07-14T00:11:22.921Z</dcterms:created>
  <dcterms:modified xsi:type="dcterms:W3CDTF">2026-07-14T00:11:22.921Z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