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Gällivare kommunfullmäktige</w:t>
      </w:r>
    </w:p>
    <w:p>
      <w:pPr>
        <w:pStyle w:val="Heading1"/>
      </w:pPr>
      <w:r>
        <w:t xml:space="preserve">Fler kommunala hyresrätter i Gällivare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Gällivare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Gällivarehus har över 800 personer i bostadskö (årsredovisning 2025). LKAB:s expansion skapar behov av 500 nya bostäder till 2028. Privata aktörer bygger främst dyra bostadsrätter. Kommunal regi garanterar rimliga hyror och långsiktigt ägande.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Gällivare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Gällivarehus i uppdrag att påbörja planering av minst 150 nya hyresrätter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hyrorna i nyproduktion hålls under genomsnittet för Norrbotten.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minst 30 procent av de nya lägenheterna blir tvåor och treor för barnfamiljer.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rapport om bostadskön lämnas till kommunfullmäktige.</w:t>
      </w:r>
    </w:p>
    <w:p>
      <w:pPr>
        <w:spacing w:before="360"/>
      </w:pPr>
    </w:p>
    <w:p>
      <w:r>
        <w:t xml:space="preserve">Gällivare,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Gällivare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2026-07-14T00:04:50.192Z</dcterms:created>
  <dcterms:modified xsi:type="dcterms:W3CDTF">2026-07-14T00:04:50.192Z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