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Arvidsjaur kommunfullmäktige</w:t>
      </w:r>
    </w:p>
    <w:p>
      <w:pPr>
        <w:pStyle w:val="Heading1"/>
      </w:pPr>
      <w:r>
        <w:t xml:space="preserve">Öka stödet till öppen ungdomsverksamhet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Arvidsjaur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2023 visar oro för ungdomars psykiska hälsa i Arvidsjaur. Fler öppna verksamheter minskar utanförskap och ökar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Arvidsjaur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Arvidsjaur kommunfullmäktige beslutar att utöka öppettiderna på Ungdomens hus med minst 20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Arvidsjaur kommunfullmäktige beslutar att anställa en extra ungdomsledare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Arvidsjaur kommunfullmäktige beslutar att erbjuda kostnadsfria aktiviteter på helger.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Arvidsjaur kommunfullmäktige beslutar att samverka med föreningslivet för bredare utbud.</w:t>
      </w:r>
    </w:p>
    <w:p>
      <w:pPr>
        <w:spacing w:before="360"/>
      </w:pPr>
    </w:p>
    <w:p>
      <w:r>
        <w:t xml:space="preserve">Arvidsjaur,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Arvidsjaur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2026-07-13T23:33:46.309Z</dcterms:created>
  <dcterms:modified xsi:type="dcterms:W3CDTF">2026-07-13T23:33:46.309Z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