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Växjö kommunfullmäktige</w:t>
      </w:r>
    </w:p>
    <w:p>
      <w:pPr>
        <w:pStyle w:val="Heading1"/>
      </w:pPr>
      <w:r>
        <w:t xml:space="preserve">Fler öppna ungdomsgårdar i Växjö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Växjö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2024 visar ökad otrygghet bland unga i Växjö. Förebyggande verksamhet saknas i flera områden.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Växjö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Växjö kommunfullmäktige beslutar att öppna minst tre nya kommunala ungdomsgårdar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8 miljoner kronor för verksamhet och 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ger kultur- och fritidsnämnden i uppdrag att samverka med föreningslivet.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utvärderar verksamheten årligen med ungdomsdelaktighet.</w:t>
      </w:r>
    </w:p>
    <w:p>
      <w:pPr>
        <w:spacing w:before="360"/>
      </w:pPr>
    </w:p>
    <w:p>
      <w:r>
        <w:t xml:space="preserve">Växjö,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Växjö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2026-07-14T02:00:33.726Z</dcterms:created>
  <dcterms:modified xsi:type="dcterms:W3CDTF">2026-07-14T02:00:33.726Z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