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Uppvidinge kommunfullmäktige</w:t>
      </w:r>
    </w:p>
    <w:p>
      <w:pPr>
        <w:pStyle w:val="Heading1"/>
      </w:pPr>
      <w:r>
        <w:t xml:space="preserve">Klimatplan för fossilfri kommunal verksamhet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Uppvidinge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Uppvidinge saknar en uppdaterad klimatstrategi. Kommunen kan gå före med fossilfri fordonsflotta och energieffektivisering.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Uppvidinge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ny klimat- och energiplan antas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kommunens fordon ska vara fossilfria senast 2030.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solcellsanläggningar på kommunala tak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klimatredovisning införs från 2027.</w:t>
      </w:r>
    </w:p>
    <w:p>
      <w:pPr>
        <w:spacing w:before="360"/>
      </w:pPr>
    </w:p>
    <w:p>
      <w:r>
        <w:t xml:space="preserve">Uppvidinge,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Uppvidinge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2026-07-14T01:49:14.459Z</dcterms:created>
  <dcterms:modified xsi:type="dcterms:W3CDTF">2026-07-14T01:49:14.459Z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