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Tingsryd kommunfullmäktige</w:t>
      </w:r>
    </w:p>
    <w:p>
      <w:pPr>
        <w:pStyle w:val="Heading1"/>
      </w:pPr>
      <w:r>
        <w:t xml:space="preserve">Trygg bemanning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Tingsryd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Hög personalomsättning och många timvikarier präglar Tingsryds äldreomsorg enligt Kommunal 2025. Detta leder till otrygghet för både brukare och personal. Fast anställda ger bättre kontinuitet och högre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Tingsryd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bemanningsplan med minst 80 procent tillsvidareanställda inom hemtjänst och särskilt boende.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heltidsnorm införs för alla tillsvidareanställda inom omsorgen.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uppföljning av sjukfrånvaro och personalomsättning presenteras för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medel avsätts i budgeten för kompetensutveckling av undersköterskor.</w:t>
      </w:r>
    </w:p>
    <w:p>
      <w:pPr>
        <w:spacing w:before="360"/>
      </w:pPr>
    </w:p>
    <w:p>
      <w:r>
        <w:t xml:space="preserve">Tingsryd,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Tingsryd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2026-07-14T01:38:38.703Z</dcterms:created>
  <dcterms:modified xsi:type="dcterms:W3CDTF">2026-07-14T01:38:38.703Z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