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Markaryd kommunfullmäktige</w:t>
      </w:r>
    </w:p>
    <w:p>
      <w:pPr>
        <w:pStyle w:val="Heading1"/>
      </w:pPr>
      <w:r>
        <w:t xml:space="preserve">Ungdomsgård i centrala Markaryd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Markaryd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2023 visar att 28 procent av ungdomarna i Markaryd känner sig otrygga kvällstid. Det saknas en samlad mötesplats efter att Fritidsgården stängde 2021. Socialt förebyggande arbete är billigare än repressiva 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Markaryd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kommunal ungdomsgård öppnas i centrala Markaryd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drivs i kommunal regi med minst två heltidsanställda.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öppettiderna anpassas efter skolungdomars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sker med föreningslivet för aktiviteter.</w:t>
      </w:r>
    </w:p>
    <w:p>
      <w:pPr>
        <w:spacing w:before="360"/>
      </w:pPr>
    </w:p>
    <w:p>
      <w:r>
        <w:t xml:space="preserve">Markaryd,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Markaryd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2026-07-14T00:52:28.741Z</dcterms:created>
  <dcterms:modified xsi:type="dcterms:W3CDTF">2026-07-14T00:52:28.741Z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