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Älmhult kommunfullmäktige</w:t>
      </w:r>
    </w:p>
    <w:p>
      <w:pPr>
        <w:pStyle w:val="Heading1"/>
      </w:pPr>
      <w:r>
        <w:t xml:space="preserve">Stöd till lokala kultur- och fritidsaktiviteter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Älmhult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Kultur- och fritidsbudgeten per invånare är lägre än länsgenomsnittet. Barn och unga i Älmhult behöver fler avgiftsfria aktiviteter för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Älmhult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anslaget till föreningsbidrag med 1,2 miljoner kronor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kultur- och fritidsnämnden i uppdrag att införa avgiftsfria prova-på-aktiviteter för barn 7–15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medel för utökade bibliotekstider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utvärdering av deltagande i kultur- och fritidsverksamhet.</w:t>
      </w:r>
    </w:p>
    <w:p>
      <w:pPr>
        <w:spacing w:before="360"/>
      </w:pPr>
    </w:p>
    <w:p>
      <w:r>
        <w:t xml:space="preserve">Älmhult,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Älmhult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2026-07-14T02:06:41.632Z</dcterms:created>
  <dcterms:modified xsi:type="dcterms:W3CDTF">2026-07-14T02:06:41.632Z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