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Mörbylånga kommunfullmäktige</w:t>
      </w:r>
    </w:p>
    <w:p>
      <w:pPr>
        <w:pStyle w:val="Heading1"/>
      </w:pPr>
      <w:r>
        <w:t xml:space="preserve">Ökat stöd till elever med särskilda behov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Vänsterpartiet i Mörbylånga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Kolada 2024 visar att Mörbylånga har högre andel elever med åtgärdsprogram än rikssnittet. Resurserna är otillräckliga enligt Skolinspektionen.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Vänsterpartiet i Mörbylånga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öka antalet specialpedagoger med 4 tjänster från 2027.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kommunfullmäktige beslutar att införa mindre undervisningsgrupper för elever i behov av särskilt stöd.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kommunfullmäktige beslutar att avsätta 2,8 miljoner kronor i budget 2027 för elevhälsa.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kommunfullmäktige beslutar att garantera kostnadsfri läxhjälp i alla skolor.</w:t>
      </w:r>
    </w:p>
    <w:p>
      <w:pPr>
        <w:spacing w:before="360"/>
      </w:pPr>
    </w:p>
    <w:p>
      <w:r>
        <w:t xml:space="preserve">Mörbylånga,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Vänsterpartiet i Mörbylånga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2026-07-14T00:57:58.129Z</dcterms:created>
  <dcterms:modified xsi:type="dcterms:W3CDTF">2026-07-14T00:57:58.129Z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