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Hultsfred kommunfullmäktige</w:t>
      </w:r>
    </w:p>
    <w:p>
      <w:pPr>
        <w:pStyle w:val="Heading1"/>
      </w:pPr>
      <w:r>
        <w:t xml:space="preserve">Ungdomsgårdar och fältassistenter i alla tätorter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Hultsfred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oro bland unga i Hultsfred. Få fritidsaktiviteter utanför centralorten ökar risk för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Hultsfred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Hultsfreds kommunfullmäktige beslutar att öppna eller återöppna ungdomsgårdar i Hultsfred, Virserum och Mörlunda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två fältassistenter anställs med fokus på kvällar och helger.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1,2 miljoner kronor avsätts årligen för verksamhet och personal.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samverkansgrupp med polis och föreningsliv inrättas.</w:t>
      </w:r>
    </w:p>
    <w:p>
      <w:pPr>
        <w:spacing w:before="360"/>
      </w:pPr>
    </w:p>
    <w:p>
      <w:r>
        <w:t xml:space="preserve">Hultsfred,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Hultsfred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2026-07-14T00:16:55.184Z</dcterms:created>
  <dcterms:modified xsi:type="dcterms:W3CDTF">2026-07-14T00:16:55.184Z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