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Högsby kommunfullmäktige</w:t>
      </w:r>
    </w:p>
    <w:p>
      <w:pPr>
        <w:pStyle w:val="Heading1"/>
      </w:pPr>
      <w:r>
        <w:t xml:space="preserve">Mindre klasser och fler speciallärare i Högsbys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Högsby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Högsby centralskola har genomsnitt 24 elever per klass i årskurs 4–6 (Kolada 2024), över rikssnittet. Meritvärdet ligger på 205 jämfört med rikets 222. Stöd till utsatta elever är otillräckligt enligt Skolinspektionens tillsyn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Högsby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20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två nya speciallärartjänster inrättas i grundskolan.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kartläggning av elevers behov av särskilt stöd genomförs under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budgetunderlaget för 2027.</w:t>
      </w:r>
    </w:p>
    <w:p>
      <w:pPr>
        <w:spacing w:before="360"/>
      </w:pPr>
    </w:p>
    <w:p>
      <w:r>
        <w:t xml:space="preserve">Högsby,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Högsby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2026-07-14T00:21:54.806Z</dcterms:created>
  <dcterms:modified xsi:type="dcterms:W3CDTF">2026-07-14T00:21:54.806Z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