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Emmaboda kommunfullmäktige</w:t>
      </w:r>
    </w:p>
    <w:p>
      <w:pPr>
        <w:pStyle w:val="Heading1"/>
      </w:pPr>
      <w:r>
        <w:t xml:space="preserve">Stöd till elever med särskilda behov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Emmaboda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Skolresultaten i Emmaboda ligger under länsgenomsnittet. Stödresurserna är ojämnt fördelade enligt Skolverkets statistik.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Emmaboda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förstärkning av elevhälsan med 3 heltider ska budgeteras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mindre undervisningsgrupper ska införas för elever med behov av särskilt stöd.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mellan skola och socialtjänst ska stärkas.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ska följas upp via Kolada-indikatorer.</w:t>
      </w:r>
    </w:p>
    <w:p>
      <w:pPr>
        <w:spacing w:before="360"/>
      </w:pPr>
    </w:p>
    <w:p>
      <w:r>
        <w:t xml:space="preserve">Emmaboda,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Emmaboda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2026-07-13T23:52:07.072Z</dcterms:created>
  <dcterms:modified xsi:type="dcterms:W3CDTF">2026-07-13T23:52:07.072Z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