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Emmaboda kommunfullmäktige</w:t>
      </w:r>
    </w:p>
    <w:p>
      <w:pPr>
        <w:pStyle w:val="Heading1"/>
      </w:pPr>
      <w:r>
        <w:t xml:space="preserve">Fossilfri skolskjuts och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Emmaboda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Emmaboda har långa avstånd på landsbygden. Nuvarande skolskjutsavtal löper ut 2027. Kalmar länstrafik har mål om fossilfri trafik 2030.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Emmaboda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nästa skolskjutsavtal ska kräva 100 % fossilfria fordon.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Kalmar länstrafik ska ske för utökad landsbygdstrafik.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investering i laddinfrastruktur ska budgeteras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upphandlingen ska ske med sociala krav på arbetsvillkor.</w:t>
      </w:r>
    </w:p>
    <w:p>
      <w:pPr>
        <w:spacing w:before="360"/>
      </w:pPr>
    </w:p>
    <w:p>
      <w:r>
        <w:t xml:space="preserve">Emmaboda,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Emmaboda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2026-07-13T23:52:07.048Z</dcterms:created>
  <dcterms:modified xsi:type="dcterms:W3CDTF">2026-07-13T23:52:07.048Z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