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Borgholm kommunfullmäktige</w:t>
      </w:r>
    </w:p>
    <w:p>
      <w:pPr>
        <w:pStyle w:val="Heading1"/>
      </w:pPr>
      <w:r>
        <w:t xml:space="preserve">Öppen granskning av kommunala bolag och upphandlingar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Borgholm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Borgholms kommunala bolag saknar tillräcklig insyn enligt revisionsrapport 2024. Demokratisk ekonomi kräver öppenhet.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Borgholm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alla upphandlingar över 500 000 kronor publiceras på kommunens webbplats med fullständiga avtal.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oberoende granskning av Borgholmsbostäder genomförs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får halvårsvisa rapporter om bolagens ekonomi.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riktlinjer för etisk upphandling antas senast 2027.</w:t>
      </w:r>
    </w:p>
    <w:p>
      <w:pPr>
        <w:spacing w:before="360"/>
      </w:pPr>
    </w:p>
    <w:p>
      <w:r>
        <w:t xml:space="preserve">Borgholm,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Borgholm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2026-07-13T23:42:44.063Z</dcterms:created>
  <dcterms:modified xsi:type="dcterms:W3CDTF">2026-07-13T23:42:44.063Z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