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Vetlanda kommunfullmäktige</w:t>
      </w:r>
    </w:p>
    <w:p>
      <w:pPr>
        <w:pStyle w:val="Heading1"/>
      </w:pPr>
      <w:r>
        <w:t xml:space="preserve">Öppen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Vetlanda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Vetlanda har flera kommunala bolag med begränsad insyn. Ökad transparens krävs för demokratisk kontroll av upphandlingar och ekonomi.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Vetlanda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 ska redovisa kvartalsvisa ekonomiska rapporter offentligt.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krav på sociala hänsyn vid upphandlingar i bolagen.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tillsätta en oberoende granskningsgrupp med representanter från oppositionen.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publicera alla avtal över 500 000 kronor på kommunens webbplats.</w:t>
      </w:r>
    </w:p>
    <w:p>
      <w:pPr>
        <w:spacing w:before="360"/>
      </w:pPr>
    </w:p>
    <w:p>
      <w:r>
        <w:t xml:space="preserve">Vetlanda,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Vetlanda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2026-07-14T01:54:33.950Z</dcterms:created>
  <dcterms:modified xsi:type="dcterms:W3CDTF">2026-07-14T01:54:33.950Z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