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Vetlanda kommunfullmäktige</w:t>
      </w:r>
    </w:p>
    <w:p>
      <w:pPr>
        <w:pStyle w:val="Heading1"/>
      </w:pPr>
      <w:r>
        <w:t xml:space="preserve">Utökad skolpeng till socioekonomiskt utsatta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Vetlanda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Vetlanda ligger under rikssnittet (meritvärde 225, Kolada 2024). Skolor i områden med högre andel utsatta elever behöver extra resurser för att nå jämlika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Vetlanda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socioekonomisk viktning i skolpengen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öronmärka 3 miljoner kronor årligen till skolor med högst socioekonomisk belastning.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barn- och utbildningsnämnden i uppdrag att följa upp effekter på meritvärden.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anställa fler speciallärare i de prioriterade skolorna.</w:t>
      </w:r>
    </w:p>
    <w:p>
      <w:pPr>
        <w:spacing w:before="360"/>
      </w:pPr>
    </w:p>
    <w:p>
      <w:r>
        <w:t xml:space="preserve">Vetlanda,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Vetlanda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2026-07-14T01:54:33.913Z</dcterms:created>
  <dcterms:modified xsi:type="dcterms:W3CDTF">2026-07-14T01:54:33.913Z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